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排水管网维修改造工程项目比选邀请公告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我校拟购买成都市少年儿童业余体育学校排水管网维修改造工程服务，诚邀潜在供应商参加比选活动。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一、</w:t>
      </w: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成都市少年儿童业余体育学校排水管网维修改造工程项目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二、</w:t>
      </w: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60000.00元（大写：陆万元整）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三、</w:t>
      </w: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本项目位于成都市少年儿童业余体育学校院内，维修改造内容为：雨水、污水管网病害治理、修复等改造及地面塑胶跑道恢复。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四、</w:t>
      </w: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五、</w:t>
      </w: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报名时间：2024年7月22日9时00分至2024年7月24日12时00分（北京时间，法定节假日除外，下同）。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766209653@qq.co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六、</w:t>
      </w: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比选申请书递交截止时间：2024年7月24日14时00分-17时00分；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开标时间：2024年7月25日上午10点；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七、</w:t>
      </w: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联系电话：028-87311707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267" w:hanging="719" w:hangingChars="257"/>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附件：成都市少年儿童业余体育学校排水管网维修改造工程项目比选文件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成都市少年儿童业余体育学校排水管网维修改造工程项目</w:t>
      </w:r>
    </w:p>
    <w:p>
      <w:pPr>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8"/>
        <w:ind w:firstLine="0" w:firstLineChars="0"/>
        <w:rPr>
          <w:rFonts w:hint="eastAsia" w:ascii="宋体" w:hAnsi="宋体" w:eastAsia="宋体" w:cs="宋体"/>
          <w:color w:val="auto"/>
        </w:rPr>
      </w:pPr>
    </w:p>
    <w:p>
      <w:pPr>
        <w:pStyle w:val="28"/>
        <w:ind w:firstLine="480"/>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5917"/>
      <w:bookmarkStart w:id="2" w:name="_Toc193106063"/>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2318463"/>
      <w:bookmarkStart w:id="7" w:name="_Toc193106178"/>
      <w:bookmarkStart w:id="8" w:name="_Toc193105921"/>
      <w:bookmarkStart w:id="9" w:name="_Toc193106067"/>
      <w:bookmarkStart w:id="10" w:name="_Toc192318710"/>
      <w:bookmarkStart w:id="11" w:name="_Toc192318383"/>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29"/>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29"/>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232"/>
      <w:bookmarkStart w:id="15" w:name="_Toc505010046"/>
      <w:bookmarkStart w:id="16" w:name="_Toc106386567"/>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5010047"/>
      <w:bookmarkStart w:id="18" w:name="_Toc505010327"/>
      <w:bookmarkStart w:id="19" w:name="_Toc509241720"/>
      <w:bookmarkStart w:id="20" w:name="_Toc73721579"/>
      <w:bookmarkStart w:id="21" w:name="_Toc505010233"/>
      <w:bookmarkStart w:id="22" w:name="_Toc106386568"/>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eastAsia="zh-CN"/>
        </w:rPr>
        <w:t>成都市少年儿童业余体育学校</w:t>
      </w:r>
      <w:r>
        <w:rPr>
          <w:rFonts w:hint="eastAsia" w:ascii="宋体" w:hAnsi="宋体" w:eastAsia="宋体" w:cs="宋体"/>
          <w:b w:val="0"/>
          <w:bCs/>
          <w:color w:val="auto"/>
          <w:sz w:val="24"/>
          <w:szCs w:val="24"/>
          <w:lang w:val="en-US" w:eastAsia="zh-CN"/>
        </w:rPr>
        <w:t>需采购排水管网维修改造工程服务，现通过本次比选方式确认一位供应商完成本项目全部采购内容</w:t>
      </w:r>
      <w:r>
        <w:rPr>
          <w:rFonts w:hint="eastAsia" w:ascii="宋体" w:hAnsi="宋体" w:eastAsia="宋体" w:cs="宋体"/>
          <w:b w:val="0"/>
          <w:bCs/>
          <w:color w:val="auto"/>
          <w:sz w:val="24"/>
          <w:szCs w:val="24"/>
        </w:rPr>
        <w:t>。</w:t>
      </w:r>
    </w:p>
    <w:p>
      <w:pPr>
        <w:adjustRightInd w:val="0"/>
        <w:spacing w:line="360" w:lineRule="auto"/>
        <w:ind w:left="1" w:firstLine="480" w:firstLineChars="200"/>
        <w:textAlignment w:val="baseline"/>
        <w:rPr>
          <w:rFonts w:hint="eastAsia" w:ascii="宋体" w:hAnsi="宋体" w:eastAsia="宋体" w:cs="宋体"/>
          <w:color w:val="auto"/>
          <w:sz w:val="24"/>
          <w:szCs w:val="22"/>
        </w:rPr>
      </w:pPr>
      <w:bookmarkStart w:id="23" w:name="_Toc73721580"/>
      <w:bookmarkStart w:id="24" w:name="_Toc106386569"/>
      <w:bookmarkStart w:id="25" w:name="_Toc505010048"/>
      <w:bookmarkStart w:id="26" w:name="_Toc505010328"/>
      <w:bookmarkStart w:id="27" w:name="_Toc505010234"/>
      <w:bookmarkStart w:id="28" w:name="_Toc509241721"/>
      <w:r>
        <w:rPr>
          <w:rFonts w:hint="eastAsia" w:ascii="宋体" w:hAnsi="宋体" w:eastAsia="宋体" w:cs="宋体"/>
          <w:color w:val="auto"/>
          <w:sz w:val="24"/>
          <w:szCs w:val="22"/>
          <w:lang w:val="en-US" w:eastAsia="zh-CN"/>
        </w:rPr>
        <w:t>二、</w:t>
      </w: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1.排水管网维修改造及地面塑胶场地恢复</w:t>
      </w:r>
    </w:p>
    <w:tbl>
      <w:tblPr>
        <w:tblStyle w:val="1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6"/>
        <w:gridCol w:w="1536"/>
        <w:gridCol w:w="594"/>
        <w:gridCol w:w="594"/>
        <w:gridCol w:w="940"/>
        <w:gridCol w:w="819"/>
        <w:gridCol w:w="261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3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起始井号</w:t>
            </w:r>
          </w:p>
        </w:tc>
        <w:tc>
          <w:tcPr>
            <w:tcW w:w="13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终止井号</w:t>
            </w:r>
          </w:p>
        </w:tc>
        <w:tc>
          <w:tcPr>
            <w:tcW w:w="59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管段类型</w:t>
            </w:r>
          </w:p>
        </w:tc>
        <w:tc>
          <w:tcPr>
            <w:tcW w:w="59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管段材质</w:t>
            </w:r>
          </w:p>
        </w:tc>
        <w:tc>
          <w:tcPr>
            <w:tcW w:w="843"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管段</w:t>
            </w:r>
          </w:p>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直径</w:t>
            </w:r>
          </w:p>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（mm）</w:t>
            </w:r>
          </w:p>
        </w:tc>
        <w:tc>
          <w:tcPr>
            <w:tcW w:w="757"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管段</w:t>
            </w:r>
          </w:p>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长度</w:t>
            </w:r>
          </w:p>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（m）</w:t>
            </w:r>
          </w:p>
        </w:tc>
        <w:tc>
          <w:tcPr>
            <w:tcW w:w="234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缺陷位置</w:t>
            </w:r>
          </w:p>
        </w:tc>
        <w:tc>
          <w:tcPr>
            <w:tcW w:w="108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缺陷</w:t>
            </w:r>
          </w:p>
          <w:p>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1590HWS0102</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1590HWS0223</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PE</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35.1</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0.5m～0.6m，11h～12h</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支管暗接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1590HWS0224</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1590HWS0223</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PE</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2.9</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0.5m～0.7m，12h～3h</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1590HYS0034</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1590HYS0016</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YS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T</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15.5</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0.5m</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1590HYS0051</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1590HYS0053</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YS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T</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22.8</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2.1m</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1590HYS0083</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1590HYS0085</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YS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PE</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10.5</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0.5m～1.0m，12h～3h</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2"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1590HYS0093</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1590HYS0231</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YS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PE</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34.1</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1.0m～2.0m，12h～12h</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jc w:val="center"/>
        </w:trPr>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1590HYS0099</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1590HYS0100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YS</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PE</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6.5</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0.5m～0.7m，10h～2h</w:t>
            </w:r>
          </w:p>
        </w:tc>
        <w:tc>
          <w:tcPr>
            <w:tcW w:w="0" w:type="auto"/>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破裂</w:t>
            </w:r>
          </w:p>
        </w:tc>
      </w:tr>
    </w:tbl>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2.男厕所1处小便池排水管改造及地面瓷砖恢复</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3.窨井加装防坠网</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须保障校内正常工作、训练秩序，行人正常通行。承包人按法律规定和合同约定采取施工安全和环境保护措施，办理工伤保险，确保工程及人员（含施工范围内及相邻范围施工与非施工人员）、材料、设备和设施的安全，防止因工程施工造成的人身伤害和财产损失。</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3.施工组织方案。供应商提供的施工组织设计方案包含①施工进度计划、②质量保证措施、③安全保证措施、④资源配置计划、⑤环保文明措施、⑥应急预案、⑦施工工艺、⑧项目管理组织架构及名单。</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4.质量保修责任。①质量保修期：1年；②质量保修期自竣工验收合格之日起计算。</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5.质量保障。供应商对工程质量问题的响应时间不超过6小时。</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6.售后服务。供应商针对本项目提供的售后服务方案应包含：①服务方案（应包括售后服务人员配备、质量问题应急处理预案）、②质量保修期内的质量保障措施、③质量保修期内的后续技术支持和维护服务。</w:t>
      </w:r>
    </w:p>
    <w:p>
      <w:pPr>
        <w:keepNext/>
        <w:keepLines/>
        <w:numPr>
          <w:ilvl w:val="0"/>
          <w:numId w:val="0"/>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三、</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bookmarkStart w:id="29" w:name="_Toc106386573"/>
      <w:bookmarkStart w:id="30" w:name="_Toc73721582"/>
      <w:bookmarkStart w:id="31" w:name="_Hlk45286914"/>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w:t>
      </w:r>
      <w:r>
        <w:rPr>
          <w:rFonts w:ascii="宋体" w:hAnsi="宋体" w:eastAsia="宋体" w:cs="宋体"/>
          <w:sz w:val="24"/>
        </w:rPr>
        <w:t>漏项工程处理：施工过程中，发现工程量清单存在漏项工程的，该漏项工程作为本项目本章采购需求的组成部分，采购人和供应商可以按照《中华人民共和国政府采购法》的规定签订不超过成交金额</w:t>
      </w:r>
      <w:r>
        <w:rPr>
          <w:rFonts w:hint="eastAsia" w:ascii="宋体" w:hAnsi="宋体" w:eastAsia="宋体" w:cs="宋体"/>
          <w:sz w:val="24"/>
          <w:lang w:val="en-US" w:eastAsia="zh-CN"/>
        </w:rPr>
        <w:t>10%</w:t>
      </w:r>
      <w:r>
        <w:rPr>
          <w:rFonts w:ascii="宋体" w:hAnsi="宋体" w:eastAsia="宋体" w:cs="宋体"/>
          <w:sz w:val="24"/>
        </w:rPr>
        <w:t>的补充合同。（说明</w:t>
      </w:r>
      <w:r>
        <w:rPr>
          <w:rFonts w:hint="eastAsia" w:ascii="宋体" w:hAnsi="宋体" w:eastAsia="宋体" w:cs="宋体"/>
          <w:sz w:val="24"/>
          <w:lang w:eastAsia="zh-CN"/>
        </w:rPr>
        <w:t>：</w:t>
      </w:r>
      <w:r>
        <w:rPr>
          <w:rFonts w:ascii="宋体" w:hAnsi="宋体" w:eastAsia="宋体" w:cs="宋体"/>
          <w:sz w:val="24"/>
        </w:rPr>
        <w:t>供应商在响应文件中响应。）</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2.供应商为本项目提供的所有产品、辅材中属于《国家强制性产品认证目录》范围内产品的，均通过国家强制性产品认证并取得认证证书。（说明:供应商在响应文件中响应。）</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本项目施工实施过程中，供应商严格按照项目施工方案及规范施工并做好安全防护措施，在施工过程中，对施工范围周边区域原有设施设备采取适当措施进行保护，如因供应商原因造成施工场地周边原有设备设施损坏的，供应商有责任无偿进行恢复。在施工过程中所发生的所有安全事故和生产事故，劳动纠纷均由供应商承担。（说明:供应商在响应文件中响应。）</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★1.履约时间：自合同签订之日起</w:t>
      </w:r>
      <w:r>
        <w:rPr>
          <w:rFonts w:hint="eastAsia" w:ascii="宋体" w:hAnsi="宋体" w:eastAsia="宋体" w:cs="宋体"/>
          <w:color w:val="auto"/>
          <w:sz w:val="24"/>
          <w:szCs w:val="22"/>
          <w:highlight w:val="none"/>
          <w:lang w:val="en-US" w:eastAsia="zh-CN"/>
        </w:rPr>
        <w:t>40</w:t>
      </w:r>
      <w:r>
        <w:rPr>
          <w:rFonts w:hint="eastAsia" w:ascii="宋体" w:hAnsi="宋体" w:eastAsia="宋体" w:cs="宋体"/>
          <w:color w:val="auto"/>
          <w:sz w:val="24"/>
          <w:szCs w:val="22"/>
          <w:highlight w:val="none"/>
        </w:rPr>
        <w:t>日。</w:t>
      </w:r>
    </w:p>
    <w:p>
      <w:pPr>
        <w:adjustRightInd w:val="0"/>
        <w:spacing w:line="360" w:lineRule="auto"/>
        <w:ind w:left="1" w:firstLine="480" w:firstLineChars="20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成都市草堂东路150号成都市少年儿童业余体育学校院内</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缺陷责任期：工程通过竣工验收之日起12个月。缺陷责任期内，由供应商原因造成的缺陷，供应商应负责维修，保证达到合同规定的质量要求及性能要求，并承担鉴定及维修费用。如供应商在收到采购人通知之日起7天内不维修也不承担费用，釆购人可自行采取必要的补救措施，所产生的费用从工程质量保证金中扣除，费用超出保证金额的，采购人可向供应商进行索赔。供应商维修并承担相应费用后，不免除对工程的损失赔偿责任。</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lang w:val="en-US" w:eastAsia="zh-CN" w:bidi="ar-SA"/>
        </w:rPr>
        <w:t>4.</w:t>
      </w: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预付款：合同签订生效后10日内，支付供应商采购预算金额的40%；</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尾款：供应商履约结束，经采购人验收合格后10日内，支付供应商采购预算金额的</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6</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106386584"/>
      <w:bookmarkStart w:id="36" w:name="_Toc505010078"/>
      <w:bookmarkStart w:id="37" w:name="_Toc50501026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505010265"/>
      <w:bookmarkStart w:id="39" w:name="_Toc73721600"/>
      <w:bookmarkStart w:id="40" w:name="_Toc192318465"/>
      <w:bookmarkStart w:id="41" w:name="_Toc106386585"/>
      <w:bookmarkStart w:id="42" w:name="_Toc505010079"/>
      <w:bookmarkStart w:id="43" w:name="_Toc193106069"/>
      <w:bookmarkStart w:id="44" w:name="_Toc192318385"/>
      <w:bookmarkStart w:id="45" w:name="_Toc192318712"/>
      <w:bookmarkStart w:id="46" w:name="_Toc509241743"/>
      <w:bookmarkStart w:id="47" w:name="_Toc193105923"/>
      <w:bookmarkStart w:id="48" w:name="_Toc505010359"/>
      <w:bookmarkStart w:id="49" w:name="_Toc193106180"/>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40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根据承接主体制作的相关工作方案（计划）内容综合评定打分（包括技术方案、施工方案、</w:t>
            </w:r>
            <w:r>
              <w:rPr>
                <w:rFonts w:hint="eastAsia" w:ascii="方正仿宋_GBK" w:hAnsi="Times New Roman" w:eastAsia="方正仿宋_GBK" w:cs="方正仿宋_GBK"/>
                <w:color w:val="auto"/>
                <w:sz w:val="24"/>
                <w:szCs w:val="24"/>
                <w:lang w:val="en-US" w:eastAsia="zh-CN"/>
              </w:rPr>
              <w:t>安全</w:t>
            </w:r>
            <w:bookmarkStart w:id="54" w:name="_GoBack"/>
            <w:bookmarkEnd w:id="54"/>
            <w:r>
              <w:rPr>
                <w:rFonts w:hint="eastAsia" w:ascii="方正仿宋_GBK" w:hAnsi="Times New Roman" w:eastAsia="方正仿宋_GBK" w:cs="方正仿宋_GBK"/>
                <w:color w:val="auto"/>
                <w:sz w:val="24"/>
                <w:szCs w:val="24"/>
              </w:rPr>
              <w:t>保障）。</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附相关合同、案例、图文，每个得2分，满分不超过10分。</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6"/>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4"/>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4"/>
        <w:rPr>
          <w:rFonts w:hint="eastAsia"/>
          <w:color w:val="auto"/>
          <w:sz w:val="28"/>
          <w:szCs w:val="28"/>
          <w:lang w:val="en-US" w:eastAsia="zh-CN"/>
        </w:rPr>
      </w:pPr>
    </w:p>
    <w:p>
      <w:pPr>
        <w:pStyle w:val="34"/>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6"/>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6"/>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2"/>
        <w:ind w:left="0" w:leftChars="0" w:firstLine="0" w:firstLineChars="0"/>
        <w:rPr>
          <w:rFonts w:hint="eastAsia" w:ascii="宋体" w:hAnsi="宋体" w:eastAsia="宋体" w:cs="宋体"/>
          <w:color w:val="auto"/>
          <w:sz w:val="24"/>
          <w:szCs w:val="22"/>
          <w:highlight w:val="none"/>
        </w:rPr>
      </w:pPr>
    </w:p>
    <w:p>
      <w:pPr>
        <w:pStyle w:val="10"/>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489DD1-A116-4FAE-A787-1A108CCF043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EDEE7F49-3E1C-4975-9D7C-7D06D318A220}"/>
  </w:font>
  <w:font w:name="方正小标宋简体">
    <w:panose1 w:val="02000000000000000000"/>
    <w:charset w:val="86"/>
    <w:family w:val="auto"/>
    <w:pitch w:val="default"/>
    <w:sig w:usb0="00000001" w:usb1="08000000" w:usb2="00000000" w:usb3="00000000" w:csb0="00040000" w:csb1="00000000"/>
    <w:embedRegular r:id="rId3" w:fontKey="{59550E5A-4D4A-4557-8881-27AEAE8ABECB}"/>
  </w:font>
  <w:font w:name="仿宋">
    <w:panose1 w:val="02010609060101010101"/>
    <w:charset w:val="86"/>
    <w:family w:val="auto"/>
    <w:pitch w:val="default"/>
    <w:sig w:usb0="800002BF" w:usb1="38CF7CFA" w:usb2="00000016" w:usb3="00000000" w:csb0="00040001" w:csb1="00000000"/>
    <w:embedRegular r:id="rId4" w:fontKey="{F5952083-DB36-49B9-B0D6-11403E346ED2}"/>
  </w:font>
  <w:font w:name="仿宋_GB2312">
    <w:altName w:val="仿宋"/>
    <w:panose1 w:val="02010609030101010101"/>
    <w:charset w:val="86"/>
    <w:family w:val="auto"/>
    <w:pitch w:val="default"/>
    <w:sig w:usb0="00000000" w:usb1="00000000" w:usb2="00000000" w:usb3="00000000" w:csb0="00040000" w:csb1="00000000"/>
    <w:embedRegular r:id="rId5" w:fontKey="{199992A7-DEEB-4CCE-8014-1706F8CF1799}"/>
  </w:font>
  <w:font w:name="微软雅黑">
    <w:panose1 w:val="020B0503020204020204"/>
    <w:charset w:val="86"/>
    <w:family w:val="auto"/>
    <w:pitch w:val="default"/>
    <w:sig w:usb0="80000287" w:usb1="2ACF3C50" w:usb2="00000016" w:usb3="00000000" w:csb0="0004001F" w:csb1="00000000"/>
    <w:embedRegular r:id="rId6" w:fontKey="{D5949F91-9880-4453-A9B2-846B7EA9BB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3"/>
      <w:suff w:val="nothing"/>
      <w:lvlText w:val="%1."/>
      <w:lvlJc w:val="left"/>
      <w:pPr>
        <w:tabs>
          <w:tab w:val="left" w:pos="420"/>
        </w:tabs>
        <w:ind w:left="0" w:firstLine="0"/>
      </w:pPr>
      <w:rPr>
        <w:rFonts w:hint="default" w:ascii="宋体" w:hAnsi="宋体" w:eastAsia="宋体" w:cs="宋体"/>
      </w:rPr>
    </w:lvl>
    <w:lvl w:ilvl="1" w:tentative="0">
      <w:start w:val="1"/>
      <w:numFmt w:val="decimal"/>
      <w:pStyle w:val="14"/>
      <w:suff w:val="nothing"/>
      <w:lvlText w:val="%1.%2"/>
      <w:lvlJc w:val="left"/>
      <w:pPr>
        <w:tabs>
          <w:tab w:val="left" w:pos="420"/>
        </w:tabs>
        <w:ind w:left="0" w:firstLine="0"/>
      </w:pPr>
      <w:rPr>
        <w:rFonts w:hint="default" w:ascii="宋体" w:hAnsi="宋体" w:eastAsia="宋体" w:cs="宋体"/>
      </w:rPr>
    </w:lvl>
    <w:lvl w:ilvl="2" w:tentative="0">
      <w:start w:val="1"/>
      <w:numFmt w:val="decimal"/>
      <w:pStyle w:val="15"/>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2"/>
      <w:suff w:val="nothing"/>
      <w:lvlText w:val="(%2)"/>
      <w:lvlJc w:val="left"/>
      <w:pPr>
        <w:ind w:left="0" w:firstLine="0"/>
      </w:pPr>
      <w:rPr>
        <w:rFonts w:hint="eastAsia" w:ascii="宋体" w:hAnsi="宋体" w:eastAsia="宋体" w:cs="方正小标宋简体"/>
      </w:rPr>
    </w:lvl>
    <w:lvl w:ilvl="2" w:tentative="0">
      <w:start w:val="1"/>
      <w:numFmt w:val="decimal"/>
      <w:pStyle w:val="24"/>
      <w:suff w:val="nothing"/>
      <w:lvlText w:val="%3."/>
      <w:lvlJc w:val="left"/>
      <w:pPr>
        <w:ind w:left="0" w:firstLine="0"/>
      </w:pPr>
      <w:rPr>
        <w:rFonts w:hint="eastAsia" w:ascii="宋体" w:hAnsi="宋体" w:eastAsia="宋体" w:cs="方正小标宋简体"/>
      </w:rPr>
    </w:lvl>
    <w:lvl w:ilvl="3" w:tentative="0">
      <w:start w:val="1"/>
      <w:numFmt w:val="decimal"/>
      <w:pStyle w:val="25"/>
      <w:suff w:val="nothing"/>
      <w:lvlText w:val="%3.%4"/>
      <w:lvlJc w:val="left"/>
      <w:pPr>
        <w:ind w:left="0" w:firstLine="0"/>
      </w:pPr>
      <w:rPr>
        <w:rFonts w:hint="eastAsia" w:ascii="宋体" w:hAnsi="宋体" w:eastAsia="宋体" w:cs="方正小标宋简体"/>
      </w:rPr>
    </w:lvl>
    <w:lvl w:ilvl="4" w:tentative="0">
      <w:start w:val="1"/>
      <w:numFmt w:val="decimal"/>
      <w:pStyle w:val="26"/>
      <w:suff w:val="nothing"/>
      <w:lvlText w:val="(%5)"/>
      <w:lvlJc w:val="left"/>
      <w:pPr>
        <w:ind w:left="0" w:firstLine="0"/>
      </w:pPr>
      <w:rPr>
        <w:rFonts w:hint="eastAsia" w:ascii="宋体" w:hAnsi="宋体" w:eastAsia="宋体" w:cs="方正小标宋简体"/>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41B5F243"/>
    <w:multiLevelType w:val="multilevel"/>
    <w:tmpl w:val="41B5F243"/>
    <w:lvl w:ilvl="0" w:tentative="0">
      <w:start w:val="1"/>
      <w:numFmt w:val="chineseCounting"/>
      <w:pStyle w:val="16"/>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7"/>
      <w:suff w:val="nothing"/>
      <w:lvlText w:val="%2、"/>
      <w:lvlJc w:val="left"/>
      <w:pPr>
        <w:ind w:left="0" w:firstLine="0"/>
      </w:pPr>
      <w:rPr>
        <w:rFonts w:hint="eastAsia" w:ascii="宋体" w:hAnsi="宋体" w:eastAsia="宋体" w:cs="方正小标宋简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19"/>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0"/>
      <w:suff w:val="nothing"/>
      <w:lvlText w:val="%4.%5"/>
      <w:lvlJc w:val="left"/>
      <w:pPr>
        <w:ind w:left="0" w:firstLine="0"/>
      </w:pPr>
      <w:rPr>
        <w:rFonts w:hint="eastAsia" w:ascii="宋体" w:hAnsi="宋体" w:eastAsia="宋体" w:cs="方正小标宋简体"/>
      </w:rPr>
    </w:lvl>
    <w:lvl w:ilvl="5" w:tentative="0">
      <w:start w:val="1"/>
      <w:numFmt w:val="decimal"/>
      <w:pStyle w:val="21"/>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TBkOTYxMzhhNmExYTkzOGQ3MTM1MWZmYmE5YTIifQ=="/>
    <w:docVar w:name="KSO_WPS_MARK_KEY" w:val="49315350-74be-44b3-a13a-25b9d8118429"/>
  </w:docVars>
  <w:rsids>
    <w:rsidRoot w:val="00000000"/>
    <w:rsid w:val="0885603C"/>
    <w:rsid w:val="149D5952"/>
    <w:rsid w:val="2D73422C"/>
    <w:rsid w:val="2D9E1C33"/>
    <w:rsid w:val="36662C01"/>
    <w:rsid w:val="382B5FBA"/>
    <w:rsid w:val="39B27B80"/>
    <w:rsid w:val="3C696286"/>
    <w:rsid w:val="42B23A0D"/>
    <w:rsid w:val="44414A43"/>
    <w:rsid w:val="461B3662"/>
    <w:rsid w:val="4BF413FE"/>
    <w:rsid w:val="4CE0460E"/>
    <w:rsid w:val="56F11733"/>
    <w:rsid w:val="5D3A6883"/>
    <w:rsid w:val="5DAF5935"/>
    <w:rsid w:val="5F2A342A"/>
    <w:rsid w:val="60777D63"/>
    <w:rsid w:val="6C207EF0"/>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0"/>
    <w:rPr>
      <w:rFonts w:ascii="宋体" w:hAnsi="宋体" w:eastAsia="方正小标宋简体"/>
      <w:b/>
      <w:sz w:val="24"/>
    </w:rPr>
  </w:style>
  <w:style w:type="table" w:default="1" w:styleId="11">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rPr>
  </w:style>
  <w:style w:type="paragraph" w:styleId="10">
    <w:name w:val="toc 6"/>
    <w:basedOn w:val="1"/>
    <w:next w:val="1"/>
    <w:semiHidden/>
    <w:qFormat/>
    <w:uiPriority w:val="0"/>
    <w:pPr>
      <w:ind w:left="1050"/>
      <w:jc w:val="left"/>
    </w:pPr>
    <w:rPr>
      <w:sz w:val="18"/>
      <w:szCs w:val="18"/>
    </w:rPr>
  </w:style>
  <w:style w:type="paragraph" w:customStyle="1" w:styleId="13">
    <w:name w:val="09、“1.”表格内一级标题"/>
    <w:basedOn w:val="1"/>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4">
    <w:name w:val="10、“1.1”表格内二级标题"/>
    <w:basedOn w:val="1"/>
    <w:qFormat/>
    <w:uiPriority w:val="0"/>
    <w:pPr>
      <w:numPr>
        <w:ilvl w:val="1"/>
        <w:numId w:val="3"/>
      </w:numPr>
    </w:pPr>
  </w:style>
  <w:style w:type="paragraph" w:customStyle="1" w:styleId="15">
    <w:name w:val="11、“1.1.1”表格内三级标题"/>
    <w:basedOn w:val="1"/>
    <w:qFormat/>
    <w:uiPriority w:val="0"/>
    <w:pPr>
      <w:numPr>
        <w:ilvl w:val="2"/>
        <w:numId w:val="3"/>
      </w:numPr>
    </w:pPr>
  </w:style>
  <w:style w:type="paragraph" w:customStyle="1" w:styleId="16">
    <w:name w:val="14、“第一章”一级标题"/>
    <w:basedOn w:val="1"/>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7">
    <w:name w:val="15、“一、”二级标题"/>
    <w:basedOn w:val="1"/>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8">
    <w:name w:val="16、“(一)”三级标题"/>
    <w:basedOn w:val="1"/>
    <w:qFormat/>
    <w:uiPriority w:val="0"/>
    <w:pPr>
      <w:numPr>
        <w:ilvl w:val="2"/>
        <w:numId w:val="4"/>
      </w:numPr>
    </w:pPr>
    <w:rPr>
      <w:rFonts w:ascii="宋体" w:hAnsi="宋体" w:eastAsia="方正小标宋简体"/>
      <w:b/>
      <w:sz w:val="24"/>
    </w:rPr>
  </w:style>
  <w:style w:type="paragraph" w:customStyle="1" w:styleId="19">
    <w:name w:val="17“1.”四级标题"/>
    <w:basedOn w:val="1"/>
    <w:qFormat/>
    <w:uiPriority w:val="0"/>
    <w:pPr>
      <w:numPr>
        <w:ilvl w:val="3"/>
        <w:numId w:val="4"/>
      </w:numPr>
    </w:pPr>
    <w:rPr>
      <w:rFonts w:ascii="宋体" w:hAnsi="宋体" w:eastAsia="方正小标宋简体"/>
      <w:b/>
      <w:sz w:val="24"/>
    </w:rPr>
  </w:style>
  <w:style w:type="paragraph" w:customStyle="1" w:styleId="20">
    <w:name w:val="18、“1.1”五级标题"/>
    <w:basedOn w:val="1"/>
    <w:qFormat/>
    <w:uiPriority w:val="0"/>
    <w:pPr>
      <w:numPr>
        <w:ilvl w:val="4"/>
        <w:numId w:val="4"/>
      </w:numPr>
    </w:pPr>
    <w:rPr>
      <w:rFonts w:ascii="宋体" w:hAnsi="宋体" w:eastAsia="方正小标宋简体"/>
      <w:b/>
      <w:sz w:val="24"/>
    </w:rPr>
  </w:style>
  <w:style w:type="paragraph" w:customStyle="1" w:styleId="21">
    <w:name w:val="19、“(1)”六级标题"/>
    <w:basedOn w:val="1"/>
    <w:qFormat/>
    <w:uiPriority w:val="0"/>
    <w:pPr>
      <w:numPr>
        <w:ilvl w:val="5"/>
        <w:numId w:val="4"/>
      </w:numPr>
    </w:pPr>
    <w:rPr>
      <w:rFonts w:ascii="宋体" w:hAnsi="宋体" w:eastAsia="方正小标宋简体"/>
      <w:b/>
      <w:sz w:val="24"/>
    </w:rPr>
  </w:style>
  <w:style w:type="paragraph" w:customStyle="1" w:styleId="22">
    <w:name w:val="05、“(一)”正文三级标题"/>
    <w:basedOn w:val="1"/>
    <w:link w:val="23"/>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3">
    <w:name w:val="05、“(一)”正文三级标题 Char"/>
    <w:link w:val="22"/>
    <w:qFormat/>
    <w:uiPriority w:val="0"/>
    <w:rPr>
      <w:rFonts w:ascii="宋体" w:hAnsi="宋体" w:eastAsia="方正小标宋简体"/>
      <w:sz w:val="24"/>
    </w:rPr>
  </w:style>
  <w:style w:type="paragraph" w:customStyle="1" w:styleId="24">
    <w:name w:val="06、“1.”正文四级标题"/>
    <w:basedOn w:val="1"/>
    <w:qFormat/>
    <w:uiPriority w:val="0"/>
    <w:pPr>
      <w:numPr>
        <w:ilvl w:val="2"/>
        <w:numId w:val="2"/>
      </w:numPr>
    </w:pPr>
    <w:rPr>
      <w:rFonts w:ascii="宋体" w:hAnsi="宋体" w:eastAsia="方正小标宋简体"/>
      <w:b/>
      <w:sz w:val="24"/>
    </w:rPr>
  </w:style>
  <w:style w:type="paragraph" w:customStyle="1" w:styleId="25">
    <w:name w:val="07、“1.1”正文五级标题"/>
    <w:basedOn w:val="1"/>
    <w:qFormat/>
    <w:uiPriority w:val="0"/>
    <w:pPr>
      <w:numPr>
        <w:ilvl w:val="3"/>
        <w:numId w:val="2"/>
      </w:numPr>
    </w:pPr>
    <w:rPr>
      <w:rFonts w:ascii="宋体" w:hAnsi="宋体" w:eastAsia="方正小标宋简体"/>
      <w:b/>
      <w:sz w:val="24"/>
    </w:rPr>
  </w:style>
  <w:style w:type="paragraph" w:customStyle="1" w:styleId="26">
    <w:name w:val="08、“(1)”正文六级标题"/>
    <w:basedOn w:val="1"/>
    <w:qFormat/>
    <w:uiPriority w:val="0"/>
    <w:pPr>
      <w:numPr>
        <w:ilvl w:val="4"/>
        <w:numId w:val="2"/>
      </w:numPr>
    </w:pPr>
    <w:rPr>
      <w:rFonts w:ascii="宋体" w:hAnsi="宋体" w:eastAsia="方正小标宋简体"/>
      <w:b/>
      <w:sz w:val="24"/>
    </w:rPr>
  </w:style>
  <w:style w:type="paragraph" w:customStyle="1" w:styleId="27">
    <w:name w:val="_Style 3"/>
    <w:basedOn w:val="1"/>
    <w:next w:val="1"/>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GW-正文"/>
    <w:basedOn w:val="1"/>
    <w:qFormat/>
    <w:uiPriority w:val="0"/>
    <w:pPr>
      <w:spacing w:line="360" w:lineRule="auto"/>
      <w:ind w:firstLine="200" w:firstLineChars="200"/>
    </w:pPr>
    <w:rPr>
      <w:rFonts w:eastAsia="仿宋_GB2312"/>
      <w:sz w:val="24"/>
      <w:szCs w:val="24"/>
    </w:rPr>
  </w:style>
  <w:style w:type="paragraph" w:customStyle="1" w:styleId="29">
    <w:name w:val="正文首行缩进两字符"/>
    <w:basedOn w:val="1"/>
    <w:qFormat/>
    <w:uiPriority w:val="0"/>
    <w:pPr>
      <w:spacing w:line="360" w:lineRule="auto"/>
      <w:ind w:firstLine="200" w:firstLineChars="200"/>
    </w:pPr>
    <w:rPr>
      <w:szCs w:val="24"/>
    </w:rPr>
  </w:style>
  <w:style w:type="character" w:customStyle="1" w:styleId="30">
    <w:name w:val="font31"/>
    <w:basedOn w:val="12"/>
    <w:qFormat/>
    <w:uiPriority w:val="0"/>
    <w:rPr>
      <w:rFonts w:ascii="宋体" w:hAnsi="宋体" w:eastAsia="宋体" w:cs="宋体"/>
      <w:bCs/>
      <w:color w:val="000000"/>
      <w:sz w:val="14"/>
      <w:szCs w:val="14"/>
      <w:u w:val="none"/>
    </w:rPr>
  </w:style>
  <w:style w:type="character" w:customStyle="1" w:styleId="31">
    <w:name w:val="font41"/>
    <w:basedOn w:val="12"/>
    <w:qFormat/>
    <w:uiPriority w:val="0"/>
    <w:rPr>
      <w:rFonts w:ascii="宋体" w:hAnsi="宋体" w:eastAsia="宋体" w:cs="宋体"/>
      <w:color w:val="000000"/>
      <w:sz w:val="14"/>
      <w:szCs w:val="14"/>
      <w:u w:val="none"/>
    </w:rPr>
  </w:style>
  <w:style w:type="paragraph" w:customStyle="1" w:styleId="32">
    <w:name w:val="03、“注：”正文(加粗，首行缩进2字符)"/>
    <w:basedOn w:val="33"/>
    <w:qFormat/>
    <w:uiPriority w:val="0"/>
    <w:pPr>
      <w:tabs>
        <w:tab w:val="left" w:pos="0"/>
      </w:tabs>
      <w:ind w:firstLine="480" w:firstLineChars="200"/>
    </w:pPr>
    <w:rPr>
      <w:b/>
    </w:rPr>
  </w:style>
  <w:style w:type="paragraph" w:customStyle="1" w:styleId="33">
    <w:name w:val="01、普通正文"/>
    <w:basedOn w:val="1"/>
    <w:next w:val="10"/>
    <w:qFormat/>
    <w:uiPriority w:val="0"/>
    <w:pPr>
      <w:tabs>
        <w:tab w:val="left" w:pos="0"/>
      </w:tabs>
      <w:wordWrap w:val="0"/>
      <w:topLinePunct/>
      <w:ind w:firstLine="803" w:firstLineChars="200"/>
    </w:pPr>
    <w:rPr>
      <w:rFonts w:ascii="宋体" w:hAnsi="宋体" w:eastAsia="宋体"/>
      <w:snapToGrid w:val="0"/>
    </w:rPr>
  </w:style>
  <w:style w:type="paragraph" w:customStyle="1" w:styleId="3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null3"/>
    <w:hidden/>
    <w:qFormat/>
    <w:uiPriority w:val="0"/>
    <w:rPr>
      <w:rFonts w:hint="eastAsia" w:asciiTheme="minorHAnsi" w:hAnsiTheme="minorHAnsi" w:eastAsiaTheme="minorEastAsia" w:cstheme="minorBidi"/>
      <w:lang w:val="en-US" w:eastAsia="zh-Hans"/>
    </w:rPr>
  </w:style>
  <w:style w:type="character" w:customStyle="1" w:styleId="38">
    <w:name w:val="font1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3652</Words>
  <Characters>4009</Characters>
  <Lines>0</Lines>
  <Paragraphs>0</Paragraphs>
  <TotalTime>3</TotalTime>
  <ScaleCrop>false</ScaleCrop>
  <LinksUpToDate>false</LinksUpToDate>
  <CharactersWithSpaces>4269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ASUS-1630</cp:lastModifiedBy>
  <dcterms:modified xsi:type="dcterms:W3CDTF">2024-07-22T01:11:33Z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D865AB90C80C41B7A64F92A520D09D0E_13</vt:lpwstr>
  </property>
</Properties>
</file>